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92" w:rsidRPr="007F4F9D" w:rsidRDefault="00833703" w:rsidP="004C28B2">
      <w:pPr>
        <w:rPr>
          <w:b/>
        </w:rPr>
      </w:pPr>
      <w:r>
        <w:rPr>
          <w:b/>
        </w:rPr>
        <w:t xml:space="preserve">Vragenlijst t.b.v. </w:t>
      </w:r>
      <w:r w:rsidR="00CC03FA" w:rsidRPr="00CC03FA">
        <w:rPr>
          <w:b/>
        </w:rPr>
        <w:t xml:space="preserve">UBL Readiness Monitor </w:t>
      </w:r>
      <w:r w:rsidR="006F0192" w:rsidRPr="007F4F9D">
        <w:rPr>
          <w:b/>
        </w:rPr>
        <w:t>in Nederland</w:t>
      </w:r>
      <w:r>
        <w:rPr>
          <w:b/>
        </w:rPr>
        <w:br/>
        <w:t xml:space="preserve">Datum: </w:t>
      </w:r>
      <w:r>
        <w:rPr>
          <w:b/>
        </w:rPr>
        <w:tab/>
        <w:t>juli 2017</w:t>
      </w:r>
      <w:r>
        <w:rPr>
          <w:b/>
        </w:rPr>
        <w:br/>
        <w:t>Door:</w:t>
      </w:r>
      <w:r>
        <w:rPr>
          <w:b/>
        </w:rPr>
        <w:tab/>
      </w:r>
      <w:r>
        <w:rPr>
          <w:b/>
        </w:rPr>
        <w:tab/>
        <w:t>Friso de Jong en Gerard Bottemanne</w:t>
      </w:r>
    </w:p>
    <w:p w:rsidR="006F0192" w:rsidRDefault="00FF0468" w:rsidP="004C28B2">
      <w:r>
        <w:t>Afgelopen 2 á 3 jaar</w:t>
      </w:r>
      <w:r w:rsidR="00111B0D">
        <w:t xml:space="preserve"> heeft het merendeel van leveranciers van boekhoudsoftware UBL geïmplementeerd voor zowel het versturen als ontvangen van elektronische facturen. Dit zelfde geldt voor </w:t>
      </w:r>
      <w:proofErr w:type="spellStart"/>
      <w:r w:rsidR="00111B0D">
        <w:t>Billing</w:t>
      </w:r>
      <w:proofErr w:type="spellEnd"/>
      <w:r w:rsidR="00111B0D">
        <w:t xml:space="preserve"> Service Providers </w:t>
      </w:r>
      <w:r w:rsidR="007F4F9D">
        <w:t>(</w:t>
      </w:r>
      <w:proofErr w:type="spellStart"/>
      <w:r w:rsidR="007F4F9D">
        <w:t>BSP’s</w:t>
      </w:r>
      <w:proofErr w:type="spellEnd"/>
      <w:r w:rsidR="007F4F9D">
        <w:t xml:space="preserve">) </w:t>
      </w:r>
      <w:r w:rsidR="00111B0D">
        <w:t xml:space="preserve">en bijvoorbeeld aanbieders van scan- en herkenoplossingen. </w:t>
      </w:r>
    </w:p>
    <w:p w:rsidR="007F4F9D" w:rsidRDefault="007F4F9D" w:rsidP="007F4F9D">
      <w:r>
        <w:t xml:space="preserve">Onder de noemer "EN 16931" is in Europa gewerkt aan het maken van één norm voor elektronisch factureren (met als </w:t>
      </w:r>
      <w:proofErr w:type="spellStart"/>
      <w:r>
        <w:t>syntaxen</w:t>
      </w:r>
      <w:proofErr w:type="spellEnd"/>
      <w:r>
        <w:t xml:space="preserve"> UBL en UN/CEFACT). Er wordt hierbij gesproken over een "kernfactuur".</w:t>
      </w:r>
    </w:p>
    <w:p w:rsidR="00583509" w:rsidRDefault="007F4F9D" w:rsidP="007F4F9D">
      <w:r>
        <w:t xml:space="preserve">De Europese richtlijn 2014/55/EU "Directive 2014/55/EU on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invoicing</w:t>
      </w:r>
      <w:proofErr w:type="spellEnd"/>
      <w:r>
        <w:t xml:space="preserve"> in public </w:t>
      </w:r>
      <w:proofErr w:type="spellStart"/>
      <w:r>
        <w:t>procurement</w:t>
      </w:r>
      <w:proofErr w:type="spellEnd"/>
      <w:r>
        <w:t xml:space="preserve">" schrijft voor dat in ieder geval alle aanbestedende diensten in de EU met deze nieuwe norm en bijbehorende </w:t>
      </w:r>
      <w:proofErr w:type="spellStart"/>
      <w:r>
        <w:t>syntaxen</w:t>
      </w:r>
      <w:proofErr w:type="spellEnd"/>
      <w:r>
        <w:t xml:space="preserve"> moeten gaan werken vanaf eind 2018.</w:t>
      </w:r>
    </w:p>
    <w:p w:rsidR="007F4F9D" w:rsidRDefault="007F4F9D" w:rsidP="007F4F9D">
      <w:r>
        <w:t>Wat betekent de</w:t>
      </w:r>
      <w:r w:rsidR="000436C7">
        <w:t>ze</w:t>
      </w:r>
      <w:r>
        <w:t xml:space="preserve"> </w:t>
      </w:r>
      <w:r w:rsidR="000436C7">
        <w:t xml:space="preserve">Europese richtlijn 2014/55/UE en de </w:t>
      </w:r>
      <w:r>
        <w:t xml:space="preserve">norm “EN 16931” voor </w:t>
      </w:r>
      <w:r w:rsidR="000436C7">
        <w:t>elektronisch factureren in Nederland en welke vragen staan er nog open?</w:t>
      </w:r>
      <w:r w:rsidR="00515887">
        <w:t xml:space="preserve"> Waar gaat het goed en waar gaat het mis?</w:t>
      </w:r>
    </w:p>
    <w:p w:rsidR="000436C7" w:rsidRDefault="000436C7" w:rsidP="007F4F9D">
      <w:r>
        <w:t xml:space="preserve">Met behulp van onderstaande vragen probeert UBL Ready (een initiatief van Friso de Jong en Gerard Bottemanne) </w:t>
      </w:r>
      <w:r w:rsidR="00CC03FA">
        <w:t xml:space="preserve">via deze UBL Readiness Monitor </w:t>
      </w:r>
      <w:r>
        <w:t xml:space="preserve">duidelijkheid te krijgen voor zowel softwareleveranciers als gebruikers </w:t>
      </w:r>
      <w:r w:rsidR="00E33037">
        <w:t>– zowel in het business-to-business als business-</w:t>
      </w:r>
      <w:proofErr w:type="spellStart"/>
      <w:r w:rsidR="00E33037">
        <w:t>to</w:t>
      </w:r>
      <w:proofErr w:type="spellEnd"/>
      <w:r w:rsidR="00E33037">
        <w:t>-</w:t>
      </w:r>
      <w:proofErr w:type="spellStart"/>
      <w:r w:rsidR="00E33037">
        <w:t>government</w:t>
      </w:r>
      <w:proofErr w:type="spellEnd"/>
      <w:r w:rsidR="00E33037">
        <w:t xml:space="preserve"> segment) </w:t>
      </w:r>
      <w:r>
        <w:t>van elektronisch factur</w:t>
      </w:r>
      <w:r w:rsidR="00A60AD8">
        <w:t>ere</w:t>
      </w:r>
      <w:r>
        <w:t>n</w:t>
      </w:r>
      <w:r w:rsidR="00CA0091">
        <w:t xml:space="preserve"> wat hen de komende periode te wachten staat</w:t>
      </w:r>
      <w:r>
        <w:t>.</w:t>
      </w:r>
    </w:p>
    <w:p w:rsidR="00A60AD8" w:rsidRDefault="00CA0091" w:rsidP="007F4F9D">
      <w:r>
        <w:t>De vragen zijn onderverdeeld naar:</w:t>
      </w:r>
    </w:p>
    <w:p w:rsidR="00CA0091" w:rsidRDefault="00CA0091" w:rsidP="00CA0091">
      <w:pPr>
        <w:pStyle w:val="Lijstalinea"/>
        <w:numPr>
          <w:ilvl w:val="0"/>
          <w:numId w:val="10"/>
        </w:numPr>
      </w:pPr>
      <w:r>
        <w:t>De syntax van de facturen (in UBL);</w:t>
      </w:r>
    </w:p>
    <w:p w:rsidR="00CA0091" w:rsidRDefault="00CA0091" w:rsidP="00CA0091">
      <w:pPr>
        <w:pStyle w:val="Lijstalinea"/>
        <w:numPr>
          <w:ilvl w:val="0"/>
          <w:numId w:val="10"/>
        </w:numPr>
      </w:pPr>
      <w:r>
        <w:t>Het verzenden en ontvangen van de facturen;</w:t>
      </w:r>
    </w:p>
    <w:p w:rsidR="00CA0091" w:rsidRDefault="00CA0091" w:rsidP="00CA0091">
      <w:pPr>
        <w:pStyle w:val="Lijstalinea"/>
        <w:numPr>
          <w:ilvl w:val="0"/>
          <w:numId w:val="10"/>
        </w:numPr>
      </w:pPr>
      <w:r>
        <w:t>Factureren aan de overheid;</w:t>
      </w:r>
    </w:p>
    <w:p w:rsidR="00BA0D84" w:rsidRDefault="00CA0091" w:rsidP="00CA0091">
      <w:r w:rsidRPr="00F92896">
        <w:rPr>
          <w:b/>
        </w:rPr>
        <w:t>1. De syntax van de facturen (in UBL)</w:t>
      </w:r>
      <w:r w:rsidRPr="00CA0091">
        <w:rPr>
          <w:u w:val="single"/>
        </w:rPr>
        <w:br/>
      </w:r>
      <w:r w:rsidR="00BA0D84">
        <w:t xml:space="preserve">Mede conform de UBL Ketentest hanteren de meeste leveranciers op dit moment een subset van UBL, al dan niet afgestemd op </w:t>
      </w:r>
      <w:proofErr w:type="spellStart"/>
      <w:r w:rsidR="00BA0D84">
        <w:t>SimplerInvoicing</w:t>
      </w:r>
      <w:proofErr w:type="spellEnd"/>
      <w:r w:rsidR="00BA0D84">
        <w:t xml:space="preserve"> 1.0 of 1.1. Nu is er de komst van de norm EN 16931</w:t>
      </w:r>
      <w:r w:rsidR="00A04662">
        <w:t xml:space="preserve"> en daar vanaf geleide UBL-</w:t>
      </w:r>
      <w:r w:rsidR="00B616DB">
        <w:t>syntax</w:t>
      </w:r>
      <w:r w:rsidR="00BA0D84">
        <w:t>.</w:t>
      </w:r>
      <w:r w:rsidR="00BA0D84">
        <w:br/>
      </w:r>
      <w:r w:rsidR="006307B1">
        <w:br/>
      </w:r>
      <w:r w:rsidR="00BA0D84">
        <w:t>Dit levert de volgende vragen op: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732"/>
        <w:gridCol w:w="4792"/>
        <w:gridCol w:w="4677"/>
      </w:tblGrid>
      <w:tr w:rsidR="00324B01" w:rsidTr="004A0429">
        <w:tc>
          <w:tcPr>
            <w:tcW w:w="732" w:type="dxa"/>
          </w:tcPr>
          <w:p w:rsidR="00324B01" w:rsidRDefault="002A7F34" w:rsidP="00CA0091">
            <w:proofErr w:type="spellStart"/>
            <w:r>
              <w:t>Nr</w:t>
            </w:r>
            <w:proofErr w:type="spellEnd"/>
          </w:p>
        </w:tc>
        <w:tc>
          <w:tcPr>
            <w:tcW w:w="4792" w:type="dxa"/>
          </w:tcPr>
          <w:p w:rsidR="00324B01" w:rsidRDefault="002A7F34" w:rsidP="00CA0091">
            <w:r>
              <w:t>Vraag (en toelichting)</w:t>
            </w:r>
          </w:p>
        </w:tc>
        <w:tc>
          <w:tcPr>
            <w:tcW w:w="4677" w:type="dxa"/>
          </w:tcPr>
          <w:p w:rsidR="00324B01" w:rsidRDefault="00324B01" w:rsidP="00CA0091">
            <w:r>
              <w:t>Antwoord(en)</w:t>
            </w:r>
          </w:p>
        </w:tc>
      </w:tr>
      <w:tr w:rsidR="00324B01" w:rsidTr="004A0429">
        <w:tc>
          <w:tcPr>
            <w:tcW w:w="732" w:type="dxa"/>
          </w:tcPr>
          <w:p w:rsidR="00324B01" w:rsidRDefault="00324B01" w:rsidP="00CA0091">
            <w:r>
              <w:t>1.1</w:t>
            </w:r>
          </w:p>
        </w:tc>
        <w:tc>
          <w:tcPr>
            <w:tcW w:w="4792" w:type="dxa"/>
          </w:tcPr>
          <w:p w:rsidR="00324B01" w:rsidRDefault="00324B01" w:rsidP="00324B01">
            <w:r>
              <w:t xml:space="preserve">Is er een specificatie van EN 16931 </w:t>
            </w:r>
            <w:r w:rsidR="00A04662">
              <w:t xml:space="preserve">(en UBL-syntax) </w:t>
            </w:r>
            <w:r>
              <w:t xml:space="preserve">beschikbaar op basis van waarvan  softwareleveranciers hun huidige UBL facturen kunnen aanpassen? </w:t>
            </w:r>
            <w:r w:rsidR="00C9504B">
              <w:br/>
              <w:t xml:space="preserve">(toelichting zie </w:t>
            </w:r>
            <w:hyperlink r:id="rId7" w:history="1">
              <w:r w:rsidR="00C9504B" w:rsidRPr="00C9504B">
                <w:rPr>
                  <w:rStyle w:val="Hyperlink"/>
                </w:rPr>
                <w:t>Wiki UBL Ketentest</w:t>
              </w:r>
            </w:hyperlink>
            <w:r w:rsidR="00C9504B">
              <w:t>)</w:t>
            </w:r>
          </w:p>
          <w:p w:rsidR="00324B01" w:rsidRDefault="00324B01" w:rsidP="00CA0091"/>
        </w:tc>
        <w:tc>
          <w:tcPr>
            <w:tcW w:w="4677" w:type="dxa"/>
          </w:tcPr>
          <w:p w:rsidR="00324B01" w:rsidRDefault="00324B01" w:rsidP="00CA0091"/>
        </w:tc>
      </w:tr>
      <w:tr w:rsidR="00324B01" w:rsidTr="004A0429">
        <w:tc>
          <w:tcPr>
            <w:tcW w:w="732" w:type="dxa"/>
          </w:tcPr>
          <w:p w:rsidR="00324B01" w:rsidRDefault="00324B01" w:rsidP="00CA0091">
            <w:r>
              <w:t>1.2</w:t>
            </w:r>
          </w:p>
        </w:tc>
        <w:tc>
          <w:tcPr>
            <w:tcW w:w="4792" w:type="dxa"/>
          </w:tcPr>
          <w:p w:rsidR="00324B01" w:rsidRDefault="00C9504B" w:rsidP="00324B01">
            <w:proofErr w:type="spellStart"/>
            <w:r w:rsidRPr="00C9504B">
              <w:t>PartyLegalEntity</w:t>
            </w:r>
            <w:proofErr w:type="spellEnd"/>
            <w:r w:rsidRPr="00C9504B">
              <w:t>;</w:t>
            </w:r>
            <w:r>
              <w:t xml:space="preserve"> verwijst nu naar codelijst ISO 6523 ICD. Deze codelijst is echter (nog) niet compleet. Wat is hiervan de status?</w:t>
            </w:r>
            <w:r>
              <w:br/>
              <w:t xml:space="preserve">(toelichting zie </w:t>
            </w:r>
            <w:hyperlink r:id="rId8" w:history="1">
              <w:r w:rsidRPr="00C9504B">
                <w:rPr>
                  <w:rStyle w:val="Hyperlink"/>
                </w:rPr>
                <w:t>Wiki UBL Ketentest</w:t>
              </w:r>
            </w:hyperlink>
            <w:r>
              <w:t>)</w:t>
            </w:r>
            <w:r w:rsidR="00324B01">
              <w:br/>
            </w:r>
          </w:p>
        </w:tc>
        <w:tc>
          <w:tcPr>
            <w:tcW w:w="4677" w:type="dxa"/>
          </w:tcPr>
          <w:p w:rsidR="00324B01" w:rsidRDefault="00324B01" w:rsidP="00CA0091"/>
        </w:tc>
      </w:tr>
      <w:tr w:rsidR="006307B1" w:rsidTr="004A0429">
        <w:tc>
          <w:tcPr>
            <w:tcW w:w="732" w:type="dxa"/>
          </w:tcPr>
          <w:p w:rsidR="006307B1" w:rsidRDefault="006307B1" w:rsidP="00CA0091">
            <w:r>
              <w:t>1.3</w:t>
            </w:r>
          </w:p>
        </w:tc>
        <w:tc>
          <w:tcPr>
            <w:tcW w:w="4792" w:type="dxa"/>
          </w:tcPr>
          <w:p w:rsidR="006307B1" w:rsidRDefault="006307B1" w:rsidP="00324B01">
            <w:r w:rsidRPr="006307B1">
              <w:t>De BTW categorie voor de margeregeling volgens UN/ECE 5305  "F"</w:t>
            </w:r>
            <w:r>
              <w:t xml:space="preserve"> blijkt niet overgenomen in EN 16931</w:t>
            </w:r>
            <w:r w:rsidRPr="006307B1">
              <w:t>.</w:t>
            </w:r>
            <w:r>
              <w:t xml:space="preserve"> Wat is hiervan de consequentie?</w:t>
            </w:r>
            <w:r>
              <w:br/>
              <w:t xml:space="preserve">(toelichting zie </w:t>
            </w:r>
            <w:hyperlink r:id="rId9" w:history="1">
              <w:r w:rsidRPr="00C9504B">
                <w:rPr>
                  <w:rStyle w:val="Hyperlink"/>
                </w:rPr>
                <w:t>Wiki UBL Ketentest</w:t>
              </w:r>
            </w:hyperlink>
            <w:r>
              <w:t>)</w:t>
            </w:r>
            <w:r w:rsidR="00A04662">
              <w:br/>
            </w:r>
          </w:p>
        </w:tc>
        <w:tc>
          <w:tcPr>
            <w:tcW w:w="4677" w:type="dxa"/>
          </w:tcPr>
          <w:p w:rsidR="006307B1" w:rsidRDefault="006307B1" w:rsidP="00CA0091"/>
        </w:tc>
      </w:tr>
      <w:tr w:rsidR="004A0429" w:rsidTr="004A0429">
        <w:tc>
          <w:tcPr>
            <w:tcW w:w="732" w:type="dxa"/>
          </w:tcPr>
          <w:p w:rsidR="004A0429" w:rsidRDefault="00A04662" w:rsidP="00CA0091">
            <w:r>
              <w:t>1.4</w:t>
            </w:r>
          </w:p>
        </w:tc>
        <w:tc>
          <w:tcPr>
            <w:tcW w:w="4792" w:type="dxa"/>
          </w:tcPr>
          <w:p w:rsidR="004A0429" w:rsidRDefault="004A0429" w:rsidP="00324B01">
            <w:r w:rsidRPr="004A0429">
              <w:t>Er wordt in Nederland niet gewerkt met</w:t>
            </w:r>
            <w:r>
              <w:t xml:space="preserve"> </w:t>
            </w:r>
            <w:proofErr w:type="spellStart"/>
            <w:r>
              <w:t>Invoice</w:t>
            </w:r>
            <w:proofErr w:type="spellEnd"/>
            <w:r w:rsidRPr="004A0429">
              <w:t xml:space="preserve"> type ‘381’, zijnde creditnota en positieve </w:t>
            </w:r>
            <w:r w:rsidRPr="004A0429">
              <w:lastRenderedPageBreak/>
              <w:t>bedragen. In NL prefereren we negatieve facturen</w:t>
            </w:r>
            <w:r>
              <w:t xml:space="preserve">. </w:t>
            </w:r>
            <w:r w:rsidRPr="004A0429">
              <w:t>Dit is wel een belangrijk aandachtspunt bij facturen aan en vanuit het buitenland.</w:t>
            </w:r>
            <w:r>
              <w:t xml:space="preserve"> Omdat bij EN 16931 beide alternatieven zijn toegestaan. Wat is hiervan de consequentie?</w:t>
            </w:r>
            <w:r>
              <w:br/>
            </w:r>
          </w:p>
        </w:tc>
        <w:tc>
          <w:tcPr>
            <w:tcW w:w="4677" w:type="dxa"/>
          </w:tcPr>
          <w:p w:rsidR="004A0429" w:rsidRDefault="004A0429" w:rsidP="00CA0091"/>
        </w:tc>
      </w:tr>
      <w:tr w:rsidR="00324B01" w:rsidTr="004A0429">
        <w:tc>
          <w:tcPr>
            <w:tcW w:w="732" w:type="dxa"/>
          </w:tcPr>
          <w:p w:rsidR="00324B01" w:rsidRDefault="00324B01" w:rsidP="00CA0091">
            <w:r>
              <w:t>1.</w:t>
            </w:r>
            <w:r w:rsidR="00A04662">
              <w:t>5</w:t>
            </w:r>
          </w:p>
        </w:tc>
        <w:tc>
          <w:tcPr>
            <w:tcW w:w="4792" w:type="dxa"/>
          </w:tcPr>
          <w:p w:rsidR="00324B01" w:rsidRDefault="00324B01" w:rsidP="00324B01">
            <w:r>
              <w:t xml:space="preserve">Welke overige punten staan nog open binnen EN 16931 in relatie tot UBL </w:t>
            </w:r>
            <w:proofErr w:type="spellStart"/>
            <w:r>
              <w:t>mapping</w:t>
            </w:r>
            <w:proofErr w:type="spellEnd"/>
            <w:r>
              <w:t>?</w:t>
            </w:r>
            <w:r>
              <w:br/>
            </w:r>
          </w:p>
        </w:tc>
        <w:tc>
          <w:tcPr>
            <w:tcW w:w="4677" w:type="dxa"/>
          </w:tcPr>
          <w:p w:rsidR="00324B01" w:rsidRDefault="00324B01" w:rsidP="00CA0091"/>
        </w:tc>
      </w:tr>
      <w:tr w:rsidR="006307B1" w:rsidTr="004A0429">
        <w:tc>
          <w:tcPr>
            <w:tcW w:w="732" w:type="dxa"/>
          </w:tcPr>
          <w:p w:rsidR="006307B1" w:rsidRDefault="004A0429" w:rsidP="00CA0091">
            <w:r>
              <w:t>1.</w:t>
            </w:r>
            <w:r w:rsidR="00A04662">
              <w:t>6</w:t>
            </w:r>
          </w:p>
        </w:tc>
        <w:tc>
          <w:tcPr>
            <w:tcW w:w="4792" w:type="dxa"/>
          </w:tcPr>
          <w:p w:rsidR="006307B1" w:rsidRDefault="004A0429" w:rsidP="00324B01">
            <w:r>
              <w:t>Zijn er vanuit de Nederlandse overheid nog nadere voorschriften in aansluiting op EN 16931 en de UBL Syntax. En zo ja. Welke voorschriften zijn dit dan?</w:t>
            </w:r>
            <w:r>
              <w:br/>
            </w:r>
          </w:p>
        </w:tc>
        <w:tc>
          <w:tcPr>
            <w:tcW w:w="4677" w:type="dxa"/>
          </w:tcPr>
          <w:p w:rsidR="006307B1" w:rsidRDefault="006307B1" w:rsidP="00CA0091"/>
        </w:tc>
      </w:tr>
      <w:tr w:rsidR="004A0429" w:rsidTr="004A0429">
        <w:tc>
          <w:tcPr>
            <w:tcW w:w="732" w:type="dxa"/>
          </w:tcPr>
          <w:p w:rsidR="004A0429" w:rsidRDefault="004A0429" w:rsidP="00CA0091">
            <w:r>
              <w:t>1.</w:t>
            </w:r>
            <w:r w:rsidR="00A04662">
              <w:t>7</w:t>
            </w:r>
          </w:p>
        </w:tc>
        <w:tc>
          <w:tcPr>
            <w:tcW w:w="4792" w:type="dxa"/>
          </w:tcPr>
          <w:p w:rsidR="004A0429" w:rsidRDefault="004A0429" w:rsidP="00324B01">
            <w:r>
              <w:t>Is het nodig de</w:t>
            </w:r>
            <w:r w:rsidR="001B5CA6">
              <w:t xml:space="preserve"> </w:t>
            </w:r>
            <w:r w:rsidR="00B616DB">
              <w:t>afwijkende</w:t>
            </w:r>
            <w:r>
              <w:t xml:space="preserve"> variant UBL-OHNL (specifiek voor de Nederlandse Rijksoverheid) </w:t>
            </w:r>
            <w:r w:rsidR="003A2117" w:rsidRPr="003A2117">
              <w:t>in stand te houden nu er de standaard EN 16931 en de UBL Syntax is</w:t>
            </w:r>
            <w:r w:rsidR="00A04662">
              <w:t xml:space="preserve"> en zo ja waarvoor</w:t>
            </w:r>
            <w:r w:rsidR="003A2117" w:rsidRPr="003A2117">
              <w:t>?</w:t>
            </w:r>
            <w:r w:rsidR="00B616DB">
              <w:t xml:space="preserve"> En zo nee, in welk tempo wordt dit afgebouwd. </w:t>
            </w:r>
            <w:r>
              <w:br/>
            </w:r>
          </w:p>
        </w:tc>
        <w:tc>
          <w:tcPr>
            <w:tcW w:w="4677" w:type="dxa"/>
          </w:tcPr>
          <w:p w:rsidR="004A0429" w:rsidRDefault="004A0429" w:rsidP="00CA0091"/>
        </w:tc>
      </w:tr>
      <w:tr w:rsidR="004A0429" w:rsidTr="004A0429">
        <w:tc>
          <w:tcPr>
            <w:tcW w:w="732" w:type="dxa"/>
          </w:tcPr>
          <w:p w:rsidR="004A0429" w:rsidRDefault="004A0429" w:rsidP="00CA0091">
            <w:r>
              <w:t>1.</w:t>
            </w:r>
            <w:r w:rsidR="00A04662">
              <w:t>8</w:t>
            </w:r>
          </w:p>
        </w:tc>
        <w:tc>
          <w:tcPr>
            <w:tcW w:w="4792" w:type="dxa"/>
          </w:tcPr>
          <w:p w:rsidR="004A0429" w:rsidRDefault="004A0429" w:rsidP="00324B01">
            <w:r>
              <w:t xml:space="preserve">Is het nodig de variant SI-UBL in stand te houden nu er de standaard </w:t>
            </w:r>
            <w:r w:rsidRPr="004A0429">
              <w:t>EN 16931 en de UBL Syntax</w:t>
            </w:r>
            <w:r>
              <w:t xml:space="preserve"> is</w:t>
            </w:r>
            <w:r w:rsidR="00A04662">
              <w:t xml:space="preserve"> en zo ja waarvoor</w:t>
            </w:r>
            <w:r>
              <w:t>?</w:t>
            </w:r>
            <w:r w:rsidR="003A2117">
              <w:br/>
            </w:r>
          </w:p>
        </w:tc>
        <w:tc>
          <w:tcPr>
            <w:tcW w:w="4677" w:type="dxa"/>
          </w:tcPr>
          <w:p w:rsidR="004A0429" w:rsidRDefault="004A0429" w:rsidP="00CA0091"/>
        </w:tc>
      </w:tr>
      <w:tr w:rsidR="00D32921" w:rsidTr="004A0429">
        <w:tc>
          <w:tcPr>
            <w:tcW w:w="732" w:type="dxa"/>
          </w:tcPr>
          <w:p w:rsidR="00D32921" w:rsidRDefault="00D32921" w:rsidP="00CA0091">
            <w:r>
              <w:t>1.9</w:t>
            </w:r>
          </w:p>
        </w:tc>
        <w:tc>
          <w:tcPr>
            <w:tcW w:w="4792" w:type="dxa"/>
          </w:tcPr>
          <w:p w:rsidR="00D32921" w:rsidRDefault="00D32921" w:rsidP="00324B01">
            <w:r>
              <w:t>Wie gaat de overgang naar EN 16931 en de UBL Syntax begeleiden in Nederland wat betreft alle softwareleveranciers?</w:t>
            </w:r>
            <w:r>
              <w:br/>
            </w:r>
          </w:p>
        </w:tc>
        <w:tc>
          <w:tcPr>
            <w:tcW w:w="4677" w:type="dxa"/>
          </w:tcPr>
          <w:p w:rsidR="00D32921" w:rsidRDefault="00D32921" w:rsidP="00CA0091"/>
        </w:tc>
      </w:tr>
      <w:tr w:rsidR="003A2117" w:rsidTr="004A0429">
        <w:tc>
          <w:tcPr>
            <w:tcW w:w="732" w:type="dxa"/>
          </w:tcPr>
          <w:p w:rsidR="003A2117" w:rsidRDefault="003A2117" w:rsidP="00CA0091">
            <w:r>
              <w:t>1.</w:t>
            </w:r>
            <w:r w:rsidR="00D32921">
              <w:t>10</w:t>
            </w:r>
          </w:p>
        </w:tc>
        <w:tc>
          <w:tcPr>
            <w:tcW w:w="4792" w:type="dxa"/>
          </w:tcPr>
          <w:p w:rsidR="003A2117" w:rsidRDefault="003A2117" w:rsidP="00324B01">
            <w:r>
              <w:t xml:space="preserve">Wordt het op prijs gesteld de UBL Ketentest opnieuw uit te voeren op basis van </w:t>
            </w:r>
            <w:r w:rsidRPr="003A2117">
              <w:t>EN 16931 en de UBL Syntax</w:t>
            </w:r>
            <w:r>
              <w:t>?</w:t>
            </w:r>
            <w:r>
              <w:br/>
            </w:r>
          </w:p>
        </w:tc>
        <w:tc>
          <w:tcPr>
            <w:tcW w:w="4677" w:type="dxa"/>
          </w:tcPr>
          <w:p w:rsidR="003A2117" w:rsidRDefault="003A2117" w:rsidP="00CA0091"/>
        </w:tc>
      </w:tr>
      <w:tr w:rsidR="003A2117" w:rsidTr="004A0429">
        <w:tc>
          <w:tcPr>
            <w:tcW w:w="732" w:type="dxa"/>
          </w:tcPr>
          <w:p w:rsidR="003A2117" w:rsidRDefault="003A2117" w:rsidP="00CA0091">
            <w:r>
              <w:t>1.</w:t>
            </w:r>
            <w:r w:rsidR="00A04662">
              <w:t>1</w:t>
            </w:r>
            <w:r w:rsidR="00D32921">
              <w:t>1</w:t>
            </w:r>
          </w:p>
        </w:tc>
        <w:tc>
          <w:tcPr>
            <w:tcW w:w="4792" w:type="dxa"/>
          </w:tcPr>
          <w:p w:rsidR="003A2117" w:rsidRDefault="003A2117" w:rsidP="00324B01">
            <w:r>
              <w:t xml:space="preserve">Welke </w:t>
            </w:r>
            <w:r w:rsidR="00F92896">
              <w:t>aandachts</w:t>
            </w:r>
            <w:r>
              <w:t xml:space="preserve">punten </w:t>
            </w:r>
            <w:r w:rsidR="00F92896">
              <w:t xml:space="preserve">c.q. vragen </w:t>
            </w:r>
            <w:r w:rsidR="00B91E14">
              <w:t xml:space="preserve">op het gebied van de UBL-syntax </w:t>
            </w:r>
            <w:r>
              <w:t>spelen er volgens u nog meer?</w:t>
            </w:r>
            <w:r>
              <w:br/>
            </w:r>
          </w:p>
        </w:tc>
        <w:tc>
          <w:tcPr>
            <w:tcW w:w="4677" w:type="dxa"/>
          </w:tcPr>
          <w:p w:rsidR="003A2117" w:rsidRDefault="003A2117" w:rsidP="00CA0091"/>
        </w:tc>
      </w:tr>
    </w:tbl>
    <w:p w:rsidR="00324B01" w:rsidRDefault="00324B01" w:rsidP="00CA0091"/>
    <w:p w:rsidR="000436C7" w:rsidRDefault="00CA0091" w:rsidP="007F4F9D">
      <w:r w:rsidRPr="00F92896">
        <w:rPr>
          <w:b/>
        </w:rPr>
        <w:t>2. Het verzenden en ontvangen van de facturen</w:t>
      </w:r>
      <w:r w:rsidRPr="00CA0091">
        <w:rPr>
          <w:u w:val="single"/>
        </w:rPr>
        <w:br/>
      </w:r>
      <w:r w:rsidR="005D7E39">
        <w:t>Voor het verzenden en ontvangen van facturen wordt in Nederland op dit moment gebruik gemaakt van:</w:t>
      </w:r>
      <w:r w:rsidR="00F92896">
        <w:br/>
      </w:r>
      <w:r w:rsidR="005D7E39">
        <w:br/>
      </w:r>
      <w:r w:rsidR="005D7E39" w:rsidRPr="00917217">
        <w:rPr>
          <w:u w:val="single"/>
        </w:rPr>
        <w:t>a. Email</w:t>
      </w:r>
      <w:r w:rsidR="005D7E39">
        <w:t xml:space="preserve">; </w:t>
      </w:r>
      <w:r w:rsidR="00F92896">
        <w:br/>
      </w:r>
      <w:r w:rsidR="005D7E39">
        <w:t xml:space="preserve">Direct vanuit het (boekhoud)systeem van de afzender naar het (boekhoud)systeem van de ontvanger. </w:t>
      </w:r>
      <w:r w:rsidR="00B616DB">
        <w:t xml:space="preserve">Maar ook </w:t>
      </w:r>
      <w:r w:rsidR="005D7E39">
        <w:t>via aanvullende software voor elektronische factuurverwerking of een dienstverlener die zorgt dat facturen in een formaat (met name PDF) omgezet worden naar UBL.</w:t>
      </w:r>
      <w:r w:rsidR="005D7E39">
        <w:br/>
      </w:r>
      <w:r w:rsidR="005D7E39">
        <w:br/>
      </w:r>
      <w:r w:rsidR="005D7E39" w:rsidRPr="00917217">
        <w:rPr>
          <w:u w:val="single"/>
        </w:rPr>
        <w:t>b. PEPPOL</w:t>
      </w:r>
      <w:r w:rsidR="005D7E39">
        <w:t xml:space="preserve">; </w:t>
      </w:r>
      <w:r w:rsidR="00F92896">
        <w:br/>
        <w:t>Z</w:t>
      </w:r>
      <w:r w:rsidR="005D7E39">
        <w:t>owel direct (via een PEPPOL access point) als indirect via een BSP.</w:t>
      </w:r>
      <w:r w:rsidR="00905C4F">
        <w:br/>
      </w:r>
      <w:r w:rsidR="005D7E39">
        <w:br/>
      </w:r>
      <w:r w:rsidR="00905C4F">
        <w:rPr>
          <w:u w:val="single"/>
        </w:rPr>
        <w:t>c</w:t>
      </w:r>
      <w:r w:rsidR="005D7E39" w:rsidRPr="00917217">
        <w:rPr>
          <w:u w:val="single"/>
        </w:rPr>
        <w:t xml:space="preserve">. </w:t>
      </w:r>
      <w:proofErr w:type="spellStart"/>
      <w:r w:rsidR="005D7E39" w:rsidRPr="00917217">
        <w:rPr>
          <w:u w:val="single"/>
        </w:rPr>
        <w:t>Digipoort</w:t>
      </w:r>
      <w:proofErr w:type="spellEnd"/>
      <w:r w:rsidR="005D7E39">
        <w:t>;</w:t>
      </w:r>
      <w:r w:rsidR="00F92896">
        <w:br/>
        <w:t>U</w:t>
      </w:r>
      <w:r w:rsidR="005D7E39">
        <w:t xml:space="preserve">itsluitend voor elektronisch factureren aan de Rijksoverheid. Facturen kunnen derhalve direct via </w:t>
      </w:r>
      <w:proofErr w:type="spellStart"/>
      <w:r w:rsidR="005D7E39">
        <w:t>Digipoort</w:t>
      </w:r>
      <w:proofErr w:type="spellEnd"/>
      <w:r w:rsidR="005D7E39">
        <w:t xml:space="preserve"> aangeboden worden in het speciale formaat UBL-OHNL. </w:t>
      </w:r>
      <w:r w:rsidR="00735EF7">
        <w:t>Als alternatief</w:t>
      </w:r>
      <w:r w:rsidR="005D7E39">
        <w:t xml:space="preserve"> het formaat SI-UBL via PEPPOL point van TIE </w:t>
      </w:r>
      <w:proofErr w:type="spellStart"/>
      <w:r w:rsidR="005D7E39">
        <w:t>Kinetix</w:t>
      </w:r>
      <w:proofErr w:type="spellEnd"/>
      <w:r w:rsidR="005D7E39">
        <w:t xml:space="preserve"> die betreffende facturen converteert naar UBL-OHNL en </w:t>
      </w:r>
      <w:r w:rsidR="008E48A7">
        <w:t xml:space="preserve">dan weer </w:t>
      </w:r>
      <w:r w:rsidR="005D7E39">
        <w:t xml:space="preserve">doorzet naar </w:t>
      </w:r>
      <w:proofErr w:type="spellStart"/>
      <w:r w:rsidR="005D7E39">
        <w:t>Digipoort</w:t>
      </w:r>
      <w:proofErr w:type="spellEnd"/>
      <w:r w:rsidR="005D7E39">
        <w:t xml:space="preserve">.   </w:t>
      </w:r>
    </w:p>
    <w:p w:rsidR="00650BB9" w:rsidRDefault="00650BB9" w:rsidP="007F4F9D"/>
    <w:p w:rsidR="005D7E39" w:rsidRDefault="00D05DEA" w:rsidP="007F4F9D">
      <w:r>
        <w:lastRenderedPageBreak/>
        <w:t>Dit levert de volgende vragen op: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4664"/>
        <w:gridCol w:w="4798"/>
      </w:tblGrid>
      <w:tr w:rsidR="008E48A7" w:rsidTr="002A7F34">
        <w:tc>
          <w:tcPr>
            <w:tcW w:w="732" w:type="dxa"/>
          </w:tcPr>
          <w:p w:rsidR="008E48A7" w:rsidRDefault="002A7F34" w:rsidP="008E48A7">
            <w:proofErr w:type="spellStart"/>
            <w:r>
              <w:t>Nr</w:t>
            </w:r>
            <w:proofErr w:type="spellEnd"/>
          </w:p>
        </w:tc>
        <w:tc>
          <w:tcPr>
            <w:tcW w:w="4664" w:type="dxa"/>
          </w:tcPr>
          <w:p w:rsidR="008E48A7" w:rsidRDefault="002A7F34" w:rsidP="008E48A7">
            <w:r w:rsidRPr="002A7F34">
              <w:t>Vraag (en toelichting)</w:t>
            </w:r>
          </w:p>
        </w:tc>
        <w:tc>
          <w:tcPr>
            <w:tcW w:w="4798" w:type="dxa"/>
          </w:tcPr>
          <w:p w:rsidR="008E48A7" w:rsidRDefault="008E48A7" w:rsidP="008E48A7">
            <w:r>
              <w:t>Antwoord(en)</w:t>
            </w:r>
          </w:p>
        </w:tc>
      </w:tr>
      <w:tr w:rsidR="001B61A1" w:rsidTr="002A7F34">
        <w:tc>
          <w:tcPr>
            <w:tcW w:w="732" w:type="dxa"/>
          </w:tcPr>
          <w:p w:rsidR="001B61A1" w:rsidRDefault="001B61A1" w:rsidP="007F4F9D">
            <w:r>
              <w:t>2.1</w:t>
            </w:r>
          </w:p>
        </w:tc>
        <w:tc>
          <w:tcPr>
            <w:tcW w:w="4664" w:type="dxa"/>
          </w:tcPr>
          <w:p w:rsidR="001B61A1" w:rsidRDefault="001B61A1" w:rsidP="007F4F9D">
            <w:r>
              <w:t>Is er naast bovenstaande mogelijkheden nog behoefte aan andere mogelijkheden om facturen te verzenden en te ontvangen?</w:t>
            </w:r>
            <w:r>
              <w:br/>
            </w:r>
          </w:p>
        </w:tc>
        <w:tc>
          <w:tcPr>
            <w:tcW w:w="4798" w:type="dxa"/>
          </w:tcPr>
          <w:p w:rsidR="001B61A1" w:rsidRDefault="001B61A1" w:rsidP="007F4F9D"/>
        </w:tc>
      </w:tr>
      <w:tr w:rsidR="008E48A7" w:rsidTr="002A7F34">
        <w:tc>
          <w:tcPr>
            <w:tcW w:w="732" w:type="dxa"/>
          </w:tcPr>
          <w:p w:rsidR="008E48A7" w:rsidRDefault="008E48A7" w:rsidP="007F4F9D">
            <w:r>
              <w:t>2.1</w:t>
            </w:r>
          </w:p>
        </w:tc>
        <w:tc>
          <w:tcPr>
            <w:tcW w:w="4664" w:type="dxa"/>
          </w:tcPr>
          <w:p w:rsidR="008E48A7" w:rsidRDefault="00892F11" w:rsidP="007F4F9D">
            <w:r>
              <w:t>In Nederland wordt gesproken over het SI-netwerk</w:t>
            </w:r>
            <w:r w:rsidR="001B61A1">
              <w:t xml:space="preserve">. </w:t>
            </w:r>
            <w:r w:rsidR="0038306A">
              <w:t xml:space="preserve"> Wat is de toegevoegde waarde van</w:t>
            </w:r>
            <w:r w:rsidR="001B61A1">
              <w:t xml:space="preserve"> het</w:t>
            </w:r>
            <w:r w:rsidR="0038306A">
              <w:t xml:space="preserve"> SI-</w:t>
            </w:r>
            <w:r w:rsidR="001B61A1">
              <w:t>netwerk</w:t>
            </w:r>
            <w:r w:rsidR="0038306A">
              <w:t xml:space="preserve"> t.o.v. een aansluiting op PEPPOL?</w:t>
            </w:r>
            <w:r w:rsidR="0038306A">
              <w:br/>
              <w:t xml:space="preserve"> </w:t>
            </w:r>
            <w:r>
              <w:t xml:space="preserve"> </w:t>
            </w:r>
          </w:p>
        </w:tc>
        <w:tc>
          <w:tcPr>
            <w:tcW w:w="4798" w:type="dxa"/>
          </w:tcPr>
          <w:p w:rsidR="008E48A7" w:rsidRDefault="008E48A7" w:rsidP="007F4F9D"/>
        </w:tc>
      </w:tr>
      <w:tr w:rsidR="001B61A1" w:rsidTr="002A7F34">
        <w:tc>
          <w:tcPr>
            <w:tcW w:w="732" w:type="dxa"/>
          </w:tcPr>
          <w:p w:rsidR="001B61A1" w:rsidRDefault="001B61A1" w:rsidP="007F4F9D">
            <w:r>
              <w:t>2.2</w:t>
            </w:r>
          </w:p>
        </w:tc>
        <w:tc>
          <w:tcPr>
            <w:tcW w:w="4664" w:type="dxa"/>
          </w:tcPr>
          <w:p w:rsidR="001B61A1" w:rsidRDefault="001B61A1" w:rsidP="007F4F9D">
            <w:r w:rsidRPr="001B61A1">
              <w:t>In Nederland wordt ook gesproken over SI-FULL. Wat is de toegevoegde waarde van SI-FULL t.o.v. een aansluiting op PEPPOL</w:t>
            </w:r>
            <w:r>
              <w:t xml:space="preserve"> en het gebruik van EN 16931</w:t>
            </w:r>
            <w:r w:rsidRPr="001B61A1">
              <w:t>?</w:t>
            </w:r>
            <w:r>
              <w:br/>
            </w:r>
          </w:p>
        </w:tc>
        <w:tc>
          <w:tcPr>
            <w:tcW w:w="4798" w:type="dxa"/>
          </w:tcPr>
          <w:p w:rsidR="001B61A1" w:rsidRDefault="001B61A1" w:rsidP="007F4F9D"/>
        </w:tc>
      </w:tr>
      <w:tr w:rsidR="0038306A" w:rsidTr="002A7F34">
        <w:tc>
          <w:tcPr>
            <w:tcW w:w="732" w:type="dxa"/>
          </w:tcPr>
          <w:p w:rsidR="0038306A" w:rsidRDefault="0038306A" w:rsidP="007F4F9D">
            <w:r>
              <w:t>2.</w:t>
            </w:r>
            <w:r w:rsidR="001B61A1">
              <w:t>3</w:t>
            </w:r>
          </w:p>
        </w:tc>
        <w:tc>
          <w:tcPr>
            <w:tcW w:w="4664" w:type="dxa"/>
          </w:tcPr>
          <w:p w:rsidR="0038306A" w:rsidRDefault="0038306A" w:rsidP="007F4F9D">
            <w:r>
              <w:t>Zijn er uitvragende partijen (zoals bijvoorbeeld de overheid) die aansluiting op SI-FULL noodzakelijk maken en waarbij een aansluiting op PEPPOL onvoldoende is? En zo ja, wat is daar dan de beweegreden voor.</w:t>
            </w:r>
            <w:r>
              <w:br/>
            </w:r>
          </w:p>
        </w:tc>
        <w:tc>
          <w:tcPr>
            <w:tcW w:w="4798" w:type="dxa"/>
          </w:tcPr>
          <w:p w:rsidR="0038306A" w:rsidRDefault="0038306A" w:rsidP="007F4F9D"/>
        </w:tc>
      </w:tr>
      <w:tr w:rsidR="00B91E14" w:rsidTr="002A7F34">
        <w:tc>
          <w:tcPr>
            <w:tcW w:w="732" w:type="dxa"/>
          </w:tcPr>
          <w:p w:rsidR="00B91E14" w:rsidRDefault="00B91E14" w:rsidP="007F4F9D">
            <w:r>
              <w:t>2.4</w:t>
            </w:r>
          </w:p>
        </w:tc>
        <w:tc>
          <w:tcPr>
            <w:tcW w:w="4664" w:type="dxa"/>
          </w:tcPr>
          <w:p w:rsidR="00B91E14" w:rsidRDefault="00B91E14" w:rsidP="007F4F9D">
            <w:r w:rsidRPr="00B91E14">
              <w:t xml:space="preserve">Welke aandachtspunten c.q. vragen op het gebied van </w:t>
            </w:r>
            <w:r>
              <w:t>verzenden en ontvangen van E-facturen</w:t>
            </w:r>
            <w:r w:rsidRPr="00B91E14">
              <w:t xml:space="preserve"> spelen er volgens u nog meer?</w:t>
            </w:r>
            <w:r>
              <w:br/>
            </w:r>
          </w:p>
        </w:tc>
        <w:tc>
          <w:tcPr>
            <w:tcW w:w="4798" w:type="dxa"/>
          </w:tcPr>
          <w:p w:rsidR="00B91E14" w:rsidRDefault="00B91E14" w:rsidP="007F4F9D"/>
        </w:tc>
      </w:tr>
    </w:tbl>
    <w:p w:rsidR="00D05DEA" w:rsidRDefault="00D05DEA" w:rsidP="007F4F9D"/>
    <w:p w:rsidR="00A835E5" w:rsidRDefault="00CA0091" w:rsidP="007F4F9D">
      <w:r w:rsidRPr="00F92896">
        <w:rPr>
          <w:b/>
        </w:rPr>
        <w:t>3. Factureren aan de overheid</w:t>
      </w:r>
      <w:r w:rsidR="001B61A1">
        <w:br/>
        <w:t>De Rijksoverheid heeft het aanleveren van elektronisch factureren (deels) verplicht gesteld per 1-1-2017.</w:t>
      </w:r>
      <w:r w:rsidR="001B61A1">
        <w:br/>
      </w:r>
      <w:r w:rsidR="001B61A1" w:rsidRPr="001B61A1">
        <w:t xml:space="preserve">De Europese richtlijn 2014/55/EU schrijft voor dat in ieder geval alle aanbestedende diensten in de EU met deze nieuwe norm en bijbehorende </w:t>
      </w:r>
      <w:proofErr w:type="spellStart"/>
      <w:r w:rsidR="001B61A1" w:rsidRPr="001B61A1">
        <w:t>syntaxen</w:t>
      </w:r>
      <w:proofErr w:type="spellEnd"/>
      <w:r w:rsidR="001B61A1" w:rsidRPr="001B61A1">
        <w:t xml:space="preserve"> moeten gaan werken vanaf eind 2018.</w:t>
      </w:r>
    </w:p>
    <w:p w:rsidR="001774E5" w:rsidRDefault="00A835E5" w:rsidP="007F4F9D">
      <w:r>
        <w:t xml:space="preserve">De overheid in haar totaliteit hanteert op dit moment nog volop verschillende mogelijkheden om facturen te ontvangen en te verwerken. Dit varieert van handmatig per post ontvangen tot elektronisch via </w:t>
      </w:r>
      <w:proofErr w:type="spellStart"/>
      <w:r>
        <w:t>Digipoort</w:t>
      </w:r>
      <w:proofErr w:type="spellEnd"/>
      <w:r>
        <w:t>. En daartussen alle varianten die denkbaar zijn.</w:t>
      </w:r>
      <w:r w:rsidR="001774E5">
        <w:t xml:space="preserve"> Zie ook de onder 2 genoemde conversieservices via TIE </w:t>
      </w:r>
      <w:proofErr w:type="spellStart"/>
      <w:r w:rsidR="001774E5">
        <w:t>Kinetix</w:t>
      </w:r>
      <w:proofErr w:type="spellEnd"/>
      <w:r w:rsidR="001774E5">
        <w:t>.</w:t>
      </w:r>
      <w:r w:rsidR="002A7F34">
        <w:t xml:space="preserve"> Zoals eerder opgemerkt hanteert de Rijksoverheid de eigen UBL-variant UBL-OHNL voor E-factureren.</w:t>
      </w:r>
    </w:p>
    <w:p w:rsidR="001B61A1" w:rsidRDefault="001774E5" w:rsidP="007F4F9D">
      <w:r>
        <w:t>KING (</w:t>
      </w:r>
      <w:r w:rsidR="002A7F34" w:rsidRPr="002A7F34">
        <w:t>Kwaliteitsinstituut Nederlandse Gemeenten</w:t>
      </w:r>
      <w:r w:rsidR="002A7F34">
        <w:t>) heeft op 29 juni 2017 het rapport</w:t>
      </w:r>
      <w:r w:rsidR="00DF095B">
        <w:br/>
      </w:r>
      <w:r w:rsidR="002A7F34">
        <w:t xml:space="preserve"> “</w:t>
      </w:r>
      <w:hyperlink r:id="rId10" w:history="1">
        <w:r w:rsidR="002A7F34" w:rsidRPr="002A7F34">
          <w:rPr>
            <w:rStyle w:val="Hyperlink"/>
          </w:rPr>
          <w:t xml:space="preserve">Verkenning impact E-Factureren, </w:t>
        </w:r>
        <w:proofErr w:type="spellStart"/>
        <w:r w:rsidR="002A7F34" w:rsidRPr="002A7F34">
          <w:rPr>
            <w:rStyle w:val="Hyperlink"/>
          </w:rPr>
          <w:t>SimplerInvoicing</w:t>
        </w:r>
        <w:proofErr w:type="spellEnd"/>
        <w:r w:rsidR="002A7F34" w:rsidRPr="002A7F34">
          <w:rPr>
            <w:rStyle w:val="Hyperlink"/>
          </w:rPr>
          <w:t xml:space="preserve"> FULL</w:t>
        </w:r>
      </w:hyperlink>
      <w:bookmarkStart w:id="0" w:name="_GoBack"/>
      <w:bookmarkEnd w:id="0"/>
      <w:r w:rsidR="002A7F34">
        <w:t xml:space="preserve">” uitgebracht. </w:t>
      </w:r>
      <w:r w:rsidR="00DF095B">
        <w:br/>
      </w:r>
      <w:r w:rsidR="002A7F34">
        <w:t>Met name dit laatste rapport leidt tot de volgende vragen.</w:t>
      </w:r>
      <w:r w:rsidR="001B61A1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4"/>
      </w:tblGrid>
      <w:tr w:rsidR="001B61A1" w:rsidTr="001B61A1">
        <w:tc>
          <w:tcPr>
            <w:tcW w:w="704" w:type="dxa"/>
          </w:tcPr>
          <w:p w:rsidR="001B61A1" w:rsidRDefault="002A7F34" w:rsidP="001B61A1">
            <w:proofErr w:type="spellStart"/>
            <w:r>
              <w:t>Nr</w:t>
            </w:r>
            <w:proofErr w:type="spellEnd"/>
          </w:p>
        </w:tc>
        <w:tc>
          <w:tcPr>
            <w:tcW w:w="4536" w:type="dxa"/>
          </w:tcPr>
          <w:p w:rsidR="001B61A1" w:rsidRDefault="002A7F34" w:rsidP="001B61A1">
            <w:r w:rsidRPr="002A7F34">
              <w:t>Vraag (en toelichting)</w:t>
            </w:r>
          </w:p>
        </w:tc>
        <w:tc>
          <w:tcPr>
            <w:tcW w:w="4954" w:type="dxa"/>
          </w:tcPr>
          <w:p w:rsidR="001B61A1" w:rsidRDefault="001B61A1" w:rsidP="001B61A1">
            <w:r>
              <w:t>Antwoord(en)</w:t>
            </w:r>
          </w:p>
        </w:tc>
      </w:tr>
      <w:tr w:rsidR="00364885" w:rsidTr="001B61A1">
        <w:tc>
          <w:tcPr>
            <w:tcW w:w="704" w:type="dxa"/>
          </w:tcPr>
          <w:p w:rsidR="00364885" w:rsidRDefault="00364885" w:rsidP="007F4F9D">
            <w:r>
              <w:t>3.1</w:t>
            </w:r>
          </w:p>
        </w:tc>
        <w:tc>
          <w:tcPr>
            <w:tcW w:w="4536" w:type="dxa"/>
          </w:tcPr>
          <w:p w:rsidR="00640136" w:rsidRDefault="00640136" w:rsidP="002A7F34">
            <w:r>
              <w:t>H</w:t>
            </w:r>
            <w:r w:rsidRPr="00640136">
              <w:t>et eerder genoemde rapport van KING</w:t>
            </w:r>
            <w:r>
              <w:t xml:space="preserve"> staat geheel in het teken van </w:t>
            </w:r>
            <w:proofErr w:type="spellStart"/>
            <w:r>
              <w:t>Simpler</w:t>
            </w:r>
            <w:proofErr w:type="spellEnd"/>
            <w:r>
              <w:t xml:space="preserve"> </w:t>
            </w:r>
            <w:proofErr w:type="spellStart"/>
            <w:r>
              <w:t>Invoicing</w:t>
            </w:r>
            <w:proofErr w:type="spellEnd"/>
            <w:r>
              <w:t xml:space="preserve"> FULL.</w:t>
            </w:r>
          </w:p>
          <w:p w:rsidR="00640136" w:rsidRDefault="00640136" w:rsidP="002A7F34"/>
          <w:p w:rsidR="00364885" w:rsidRDefault="00640136" w:rsidP="002A7F34">
            <w:r>
              <w:t xml:space="preserve">Wordt hiermee wel een objectief en realistisch beeld gegeven aangaande de mogelijkheden van elektronisch factureren voor gemeenten? </w:t>
            </w:r>
            <w:r>
              <w:br/>
            </w:r>
          </w:p>
        </w:tc>
        <w:tc>
          <w:tcPr>
            <w:tcW w:w="4954" w:type="dxa"/>
          </w:tcPr>
          <w:p w:rsidR="00364885" w:rsidRDefault="00364885" w:rsidP="007F4F9D"/>
        </w:tc>
      </w:tr>
      <w:tr w:rsidR="001B61A1" w:rsidTr="001B61A1">
        <w:tc>
          <w:tcPr>
            <w:tcW w:w="704" w:type="dxa"/>
          </w:tcPr>
          <w:p w:rsidR="001B61A1" w:rsidRDefault="002A7F34" w:rsidP="007F4F9D">
            <w:r>
              <w:t>3.</w:t>
            </w:r>
            <w:r w:rsidR="00364885">
              <w:t>2</w:t>
            </w:r>
          </w:p>
        </w:tc>
        <w:tc>
          <w:tcPr>
            <w:tcW w:w="4536" w:type="dxa"/>
          </w:tcPr>
          <w:p w:rsidR="002A7F34" w:rsidRDefault="002A7F34" w:rsidP="002A7F34">
            <w:proofErr w:type="spellStart"/>
            <w:r>
              <w:t>Digipoort</w:t>
            </w:r>
            <w:proofErr w:type="spellEnd"/>
            <w:r>
              <w:t xml:space="preserve"> is jarenlang gepromoot als HET kanaal om gegevens uit te wisselen tussen bedrijfsleven en overheid. Zelfs verplicht voor </w:t>
            </w:r>
            <w:r>
              <w:lastRenderedPageBreak/>
              <w:t xml:space="preserve">elektronische aangiftes Belastingdienst, KVK en CBS en ook bedoeld als standaard kanaal voor e-Factureren. </w:t>
            </w:r>
          </w:p>
          <w:p w:rsidR="002A7F34" w:rsidRDefault="002A7F34" w:rsidP="002A7F34"/>
          <w:p w:rsidR="002A7F34" w:rsidRDefault="002A7F34" w:rsidP="002A7F34">
            <w:r>
              <w:t>“</w:t>
            </w:r>
            <w:r w:rsidRPr="00364885">
              <w:rPr>
                <w:i/>
              </w:rPr>
              <w:t xml:space="preserve">De Rijksoverheid ontvangt e-facturen via </w:t>
            </w:r>
            <w:proofErr w:type="spellStart"/>
            <w:r w:rsidRPr="00364885">
              <w:rPr>
                <w:i/>
              </w:rPr>
              <w:t>Digipoort</w:t>
            </w:r>
            <w:proofErr w:type="spellEnd"/>
            <w:r w:rsidRPr="00364885">
              <w:rPr>
                <w:i/>
              </w:rPr>
              <w:t xml:space="preserve">. Voor gemeenten raden zowel </w:t>
            </w:r>
            <w:r w:rsidRPr="001816FD">
              <w:rPr>
                <w:b/>
                <w:i/>
              </w:rPr>
              <w:t>Logius al KING</w:t>
            </w:r>
            <w:r w:rsidRPr="00364885">
              <w:rPr>
                <w:i/>
              </w:rPr>
              <w:t xml:space="preserve"> deze oplossing af vanwege de complexiteit van het implementeren van de oplossing en de relatief hogere kosten die hiermee gepaard gaan</w:t>
            </w:r>
            <w:r>
              <w:t xml:space="preserve">”. Zo staat in het eerder genoemde rapport van KING. </w:t>
            </w:r>
          </w:p>
          <w:p w:rsidR="002A7F34" w:rsidRDefault="002A7F34" w:rsidP="002A7F34"/>
          <w:p w:rsidR="001B61A1" w:rsidRDefault="002A7F34" w:rsidP="002A7F34">
            <w:r>
              <w:t xml:space="preserve">Waarom is </w:t>
            </w:r>
            <w:proofErr w:type="spellStart"/>
            <w:r>
              <w:t>Digipoort</w:t>
            </w:r>
            <w:proofErr w:type="spellEnd"/>
            <w:r>
              <w:t xml:space="preserve"> als verplicht kanaal ingebouwd door meer dan honderd softwareleveranciers en wordt dit nu afgeraden voor gemeenten?</w:t>
            </w:r>
            <w:r w:rsidR="001816FD">
              <w:br/>
            </w:r>
            <w:r w:rsidR="001816FD">
              <w:br/>
              <w:t>En wat betekent dit advies voor softwareleveranciers?</w:t>
            </w:r>
            <w:r w:rsidR="00364885">
              <w:br/>
            </w:r>
          </w:p>
        </w:tc>
        <w:tc>
          <w:tcPr>
            <w:tcW w:w="4954" w:type="dxa"/>
          </w:tcPr>
          <w:p w:rsidR="001B61A1" w:rsidRDefault="001B61A1" w:rsidP="007F4F9D"/>
        </w:tc>
      </w:tr>
      <w:tr w:rsidR="00C0168E" w:rsidTr="001B61A1">
        <w:tc>
          <w:tcPr>
            <w:tcW w:w="704" w:type="dxa"/>
          </w:tcPr>
          <w:p w:rsidR="00C0168E" w:rsidRDefault="00C0168E" w:rsidP="007F4F9D">
            <w:r>
              <w:t>3.</w:t>
            </w:r>
            <w:r w:rsidR="00364885">
              <w:t>3</w:t>
            </w:r>
          </w:p>
        </w:tc>
        <w:tc>
          <w:tcPr>
            <w:tcW w:w="4536" w:type="dxa"/>
          </w:tcPr>
          <w:p w:rsidR="00C0168E" w:rsidRDefault="00C0168E" w:rsidP="002A7F34">
            <w:r>
              <w:t xml:space="preserve">Steeds meer softwareleveranciers ontwikkelen machine </w:t>
            </w:r>
            <w:proofErr w:type="spellStart"/>
            <w:r>
              <w:t>learning</w:t>
            </w:r>
            <w:proofErr w:type="spellEnd"/>
            <w:r>
              <w:t xml:space="preserve"> binnen hun software om inkomende facturen zoveel mogelijk automatisch te boeken. </w:t>
            </w:r>
            <w:r w:rsidR="00364885">
              <w:t>Zowel gericht op facturen in PDF als UBL en los van het kanaal waarlangs facturen ontvangen worden.</w:t>
            </w:r>
          </w:p>
          <w:p w:rsidR="00364885" w:rsidRDefault="00364885" w:rsidP="002A7F34"/>
          <w:p w:rsidR="00364885" w:rsidRDefault="00364885" w:rsidP="002A7F34">
            <w:r>
              <w:t>“</w:t>
            </w:r>
            <w:r w:rsidRPr="00364885">
              <w:rPr>
                <w:i/>
              </w:rPr>
              <w:t xml:space="preserve">Automatisch boekhouden. e-factureren via </w:t>
            </w:r>
            <w:proofErr w:type="spellStart"/>
            <w:r w:rsidRPr="00364885">
              <w:rPr>
                <w:i/>
              </w:rPr>
              <w:t>Simpler</w:t>
            </w:r>
            <w:proofErr w:type="spellEnd"/>
            <w:r w:rsidRPr="00364885">
              <w:rPr>
                <w:i/>
              </w:rPr>
              <w:t xml:space="preserve"> </w:t>
            </w:r>
            <w:proofErr w:type="spellStart"/>
            <w:r w:rsidRPr="00364885">
              <w:rPr>
                <w:i/>
              </w:rPr>
              <w:t>Invoicing</w:t>
            </w:r>
            <w:proofErr w:type="spellEnd"/>
            <w:r w:rsidRPr="00364885">
              <w:rPr>
                <w:i/>
              </w:rPr>
              <w:t xml:space="preserve"> FULL (uitwisseling van e-facturen via een beveiligd netwerk) heeft de potentie dat automatisch boekhouden mogelijk wordt, waarbij facturen zonder enige menselijke interactie betaalbaar kunnen worden gesteld</w:t>
            </w:r>
            <w:r>
              <w:t>”</w:t>
            </w:r>
            <w:r w:rsidRPr="00364885">
              <w:t>.</w:t>
            </w:r>
            <w:r>
              <w:t xml:space="preserve"> </w:t>
            </w:r>
            <w:r w:rsidRPr="00364885">
              <w:t>Zo staat in het eerder genoemde rapport van KING.</w:t>
            </w:r>
            <w:r>
              <w:br/>
            </w:r>
            <w:r>
              <w:br/>
              <w:t xml:space="preserve">Welke extra invulling geeft </w:t>
            </w:r>
            <w:proofErr w:type="spellStart"/>
            <w:r>
              <w:t>Simpler</w:t>
            </w:r>
            <w:proofErr w:type="spellEnd"/>
            <w:r>
              <w:t xml:space="preserve"> </w:t>
            </w:r>
            <w:proofErr w:type="spellStart"/>
            <w:r>
              <w:t>Invoicing</w:t>
            </w:r>
            <w:proofErr w:type="spellEnd"/>
            <w:r>
              <w:t xml:space="preserve"> FULL in dit kader aan automatisch boeken?</w:t>
            </w:r>
            <w:r>
              <w:br/>
            </w:r>
          </w:p>
        </w:tc>
        <w:tc>
          <w:tcPr>
            <w:tcW w:w="4954" w:type="dxa"/>
          </w:tcPr>
          <w:p w:rsidR="00C0168E" w:rsidRDefault="00C0168E" w:rsidP="007F4F9D"/>
        </w:tc>
      </w:tr>
      <w:tr w:rsidR="00640136" w:rsidTr="001B61A1">
        <w:tc>
          <w:tcPr>
            <w:tcW w:w="704" w:type="dxa"/>
          </w:tcPr>
          <w:p w:rsidR="00640136" w:rsidRDefault="00640136" w:rsidP="007F4F9D">
            <w:r>
              <w:t>3.4</w:t>
            </w:r>
          </w:p>
        </w:tc>
        <w:tc>
          <w:tcPr>
            <w:tcW w:w="4536" w:type="dxa"/>
          </w:tcPr>
          <w:p w:rsidR="00640136" w:rsidRDefault="00640136" w:rsidP="00B616DB">
            <w:r>
              <w:t>“</w:t>
            </w:r>
            <w:r w:rsidRPr="00640136">
              <w:rPr>
                <w:i/>
              </w:rPr>
              <w:t>Om de implementatie te ondersteunen en ervaring op te doen, is er vanuit Europa subsidie beschikbaar gesteld aan softwareleveranciers om e-factureren mogelijk te maken in hun producten. Dit gebeurt via een CEF-call (</w:t>
            </w:r>
            <w:proofErr w:type="spellStart"/>
            <w:r w:rsidRPr="00640136">
              <w:rPr>
                <w:i/>
              </w:rPr>
              <w:t>Connecting</w:t>
            </w:r>
            <w:proofErr w:type="spellEnd"/>
            <w:r w:rsidRPr="00640136">
              <w:rPr>
                <w:i/>
              </w:rPr>
              <w:t xml:space="preserve"> Europe Facility).  JD Edwards, Centric, PinkRoccade en UNIT4. Al deze partijen nemen deel aan het consortium voor de CEF Call om de aanpassingen in de financiële administratiesoftware te maken zodat e-facturen ingelezen kunnen worden en kunnen worden verwerkt</w:t>
            </w:r>
            <w:r>
              <w:t>”</w:t>
            </w:r>
            <w:r w:rsidRPr="00640136">
              <w:t>.</w:t>
            </w:r>
            <w:r>
              <w:t xml:space="preserve"> Zo staat in het eerder genoemde rapport van KING.</w:t>
            </w:r>
            <w:r>
              <w:br/>
            </w:r>
            <w:r>
              <w:br/>
            </w:r>
            <w:r>
              <w:lastRenderedPageBreak/>
              <w:t>Dit leidt tot de volgende vragen</w:t>
            </w:r>
            <w:r w:rsidR="001816FD">
              <w:t xml:space="preserve"> over </w:t>
            </w:r>
            <w:r w:rsidR="00B616DB">
              <w:t xml:space="preserve">dit CEF project </w:t>
            </w:r>
            <w:r>
              <w:t>:</w:t>
            </w:r>
          </w:p>
        </w:tc>
        <w:tc>
          <w:tcPr>
            <w:tcW w:w="4954" w:type="dxa"/>
          </w:tcPr>
          <w:p w:rsidR="00640136" w:rsidRDefault="00640136" w:rsidP="007F4F9D"/>
        </w:tc>
      </w:tr>
      <w:tr w:rsidR="00640136" w:rsidTr="001B61A1">
        <w:tc>
          <w:tcPr>
            <w:tcW w:w="704" w:type="dxa"/>
          </w:tcPr>
          <w:p w:rsidR="00640136" w:rsidRDefault="00640136" w:rsidP="007F4F9D">
            <w:r>
              <w:t>3.4.1</w:t>
            </w:r>
          </w:p>
        </w:tc>
        <w:tc>
          <w:tcPr>
            <w:tcW w:w="4536" w:type="dxa"/>
          </w:tcPr>
          <w:p w:rsidR="00640136" w:rsidRDefault="001816FD" w:rsidP="00B616DB">
            <w:r>
              <w:t xml:space="preserve">Waar is de inhoud van betreffende </w:t>
            </w:r>
            <w:proofErr w:type="spellStart"/>
            <w:r>
              <w:t>CEF</w:t>
            </w:r>
            <w:r w:rsidR="00B616DB">
              <w:t>aanvraag</w:t>
            </w:r>
            <w:proofErr w:type="spellEnd"/>
            <w:r w:rsidR="00B616DB">
              <w:t xml:space="preserve"> </w:t>
            </w:r>
            <w:r>
              <w:t xml:space="preserve">te vinden? </w:t>
            </w:r>
            <w:r>
              <w:br/>
            </w:r>
          </w:p>
        </w:tc>
        <w:tc>
          <w:tcPr>
            <w:tcW w:w="4954" w:type="dxa"/>
          </w:tcPr>
          <w:p w:rsidR="00640136" w:rsidRDefault="00640136" w:rsidP="007F4F9D"/>
        </w:tc>
      </w:tr>
      <w:tr w:rsidR="001816FD" w:rsidTr="001B61A1">
        <w:tc>
          <w:tcPr>
            <w:tcW w:w="704" w:type="dxa"/>
          </w:tcPr>
          <w:p w:rsidR="001816FD" w:rsidRDefault="001816FD" w:rsidP="007F4F9D">
            <w:r>
              <w:t>3.4.2</w:t>
            </w:r>
          </w:p>
        </w:tc>
        <w:tc>
          <w:tcPr>
            <w:tcW w:w="4536" w:type="dxa"/>
          </w:tcPr>
          <w:p w:rsidR="001816FD" w:rsidRDefault="001816FD" w:rsidP="00B616DB">
            <w:r>
              <w:t>Wanneer en met wie wordt het resultaat van de uitgevoerde CEF</w:t>
            </w:r>
            <w:r w:rsidR="00B616DB">
              <w:t xml:space="preserve"> project </w:t>
            </w:r>
            <w:r>
              <w:t>gedeeld?</w:t>
            </w:r>
            <w:r>
              <w:br/>
            </w:r>
          </w:p>
        </w:tc>
        <w:tc>
          <w:tcPr>
            <w:tcW w:w="4954" w:type="dxa"/>
          </w:tcPr>
          <w:p w:rsidR="001816FD" w:rsidRDefault="001816FD" w:rsidP="007F4F9D"/>
        </w:tc>
      </w:tr>
      <w:tr w:rsidR="00640136" w:rsidTr="001B61A1">
        <w:tc>
          <w:tcPr>
            <w:tcW w:w="704" w:type="dxa"/>
          </w:tcPr>
          <w:p w:rsidR="00640136" w:rsidRDefault="001816FD" w:rsidP="007F4F9D">
            <w:r>
              <w:t>3.4.3</w:t>
            </w:r>
          </w:p>
        </w:tc>
        <w:tc>
          <w:tcPr>
            <w:tcW w:w="4536" w:type="dxa"/>
          </w:tcPr>
          <w:p w:rsidR="00640136" w:rsidRDefault="001816FD" w:rsidP="00B616DB">
            <w:r>
              <w:t>Zijn ook andere softwareleveranciers in de gelegenheid gesteld deel te nemen</w:t>
            </w:r>
            <w:r w:rsidR="00B616DB">
              <w:t xml:space="preserve">, worden later andere softwareleveranciers in de gelegenheid gesteld om aan dit </w:t>
            </w:r>
            <w:r>
              <w:t xml:space="preserve"> </w:t>
            </w:r>
            <w:r w:rsidR="00B616DB">
              <w:t xml:space="preserve">CEF project deel te nemen </w:t>
            </w:r>
            <w:r>
              <w:t>en zo ja wanneer en op welke wijze?</w:t>
            </w:r>
            <w:r>
              <w:br/>
            </w:r>
          </w:p>
        </w:tc>
        <w:tc>
          <w:tcPr>
            <w:tcW w:w="4954" w:type="dxa"/>
          </w:tcPr>
          <w:p w:rsidR="00640136" w:rsidRDefault="00640136" w:rsidP="007F4F9D"/>
        </w:tc>
      </w:tr>
      <w:tr w:rsidR="001816FD" w:rsidTr="001B61A1">
        <w:tc>
          <w:tcPr>
            <w:tcW w:w="704" w:type="dxa"/>
          </w:tcPr>
          <w:p w:rsidR="001816FD" w:rsidRDefault="001816FD" w:rsidP="007F4F9D">
            <w:r>
              <w:t>3.4.4</w:t>
            </w:r>
          </w:p>
        </w:tc>
        <w:tc>
          <w:tcPr>
            <w:tcW w:w="4536" w:type="dxa"/>
          </w:tcPr>
          <w:p w:rsidR="001816FD" w:rsidRDefault="001816FD" w:rsidP="00B616DB">
            <w:r>
              <w:t xml:space="preserve">Wordt er op basis van </w:t>
            </w:r>
            <w:r w:rsidR="00B616DB">
              <w:t>dit CEF project</w:t>
            </w:r>
            <w:r>
              <w:t xml:space="preserve"> ook getest buiten </w:t>
            </w:r>
            <w:proofErr w:type="spellStart"/>
            <w:r>
              <w:t>Simper</w:t>
            </w:r>
            <w:proofErr w:type="spellEnd"/>
            <w:r>
              <w:t xml:space="preserve"> </w:t>
            </w:r>
            <w:proofErr w:type="spellStart"/>
            <w:r>
              <w:t>Invoicing</w:t>
            </w:r>
            <w:proofErr w:type="spellEnd"/>
            <w:r>
              <w:t xml:space="preserve"> FULL om, zoals direct via PEPPOL en via email?</w:t>
            </w:r>
            <w:r>
              <w:br/>
            </w:r>
          </w:p>
        </w:tc>
        <w:tc>
          <w:tcPr>
            <w:tcW w:w="4954" w:type="dxa"/>
          </w:tcPr>
          <w:p w:rsidR="001816FD" w:rsidRDefault="001816FD" w:rsidP="007F4F9D"/>
        </w:tc>
      </w:tr>
      <w:tr w:rsidR="001816FD" w:rsidTr="001B61A1">
        <w:tc>
          <w:tcPr>
            <w:tcW w:w="704" w:type="dxa"/>
          </w:tcPr>
          <w:p w:rsidR="001816FD" w:rsidRDefault="001816FD" w:rsidP="007F4F9D">
            <w:r>
              <w:t>3.5</w:t>
            </w:r>
          </w:p>
        </w:tc>
        <w:tc>
          <w:tcPr>
            <w:tcW w:w="4536" w:type="dxa"/>
          </w:tcPr>
          <w:p w:rsidR="001816FD" w:rsidRDefault="001816FD" w:rsidP="002A7F34">
            <w:r w:rsidRPr="001816FD">
              <w:t>Waarom wordt in het eerder genoemde rapport van KING</w:t>
            </w:r>
            <w:r>
              <w:t xml:space="preserve"> gesproken over SI-</w:t>
            </w:r>
            <w:proofErr w:type="spellStart"/>
            <w:r>
              <w:t>Lite</w:t>
            </w:r>
            <w:proofErr w:type="spellEnd"/>
            <w:r>
              <w:t xml:space="preserve"> en niet gewoon over </w:t>
            </w:r>
            <w:r w:rsidRPr="001816FD">
              <w:t xml:space="preserve">EN 16931 </w:t>
            </w:r>
            <w:r>
              <w:t xml:space="preserve">UBL-syntax </w:t>
            </w:r>
            <w:r w:rsidRPr="001816FD">
              <w:t>en email</w:t>
            </w:r>
            <w:r>
              <w:t>?</w:t>
            </w:r>
            <w:r>
              <w:br/>
            </w:r>
          </w:p>
        </w:tc>
        <w:tc>
          <w:tcPr>
            <w:tcW w:w="4954" w:type="dxa"/>
          </w:tcPr>
          <w:p w:rsidR="001816FD" w:rsidRDefault="001816FD" w:rsidP="007F4F9D"/>
        </w:tc>
      </w:tr>
      <w:tr w:rsidR="001816FD" w:rsidTr="001B61A1">
        <w:tc>
          <w:tcPr>
            <w:tcW w:w="704" w:type="dxa"/>
          </w:tcPr>
          <w:p w:rsidR="001816FD" w:rsidRDefault="001816FD" w:rsidP="007F4F9D">
            <w:r>
              <w:t>3.6</w:t>
            </w:r>
          </w:p>
        </w:tc>
        <w:tc>
          <w:tcPr>
            <w:tcW w:w="4536" w:type="dxa"/>
          </w:tcPr>
          <w:p w:rsidR="001816FD" w:rsidRDefault="001816FD" w:rsidP="00B616DB">
            <w:r>
              <w:t xml:space="preserve">Waarom wordt in het </w:t>
            </w:r>
            <w:r w:rsidRPr="001816FD">
              <w:t>eerder genoemde rapport van KING</w:t>
            </w:r>
            <w:r>
              <w:t xml:space="preserve"> niet verwezen naar objectieve bronnen over elektronisch factureren en UBL, zoals </w:t>
            </w:r>
            <w:hyperlink r:id="rId11" w:history="1">
              <w:r w:rsidRPr="00D749B9">
                <w:rPr>
                  <w:rStyle w:val="Hyperlink"/>
                </w:rPr>
                <w:t>www.ublketentest.nl</w:t>
              </w:r>
            </w:hyperlink>
            <w:r>
              <w:t xml:space="preserve"> </w:t>
            </w:r>
            <w:r w:rsidR="00B616DB">
              <w:t xml:space="preserve">, </w:t>
            </w:r>
            <w:hyperlink r:id="rId12" w:history="1">
              <w:r w:rsidRPr="00D749B9">
                <w:rPr>
                  <w:rStyle w:val="Hyperlink"/>
                </w:rPr>
                <w:t>www.ublready.nl</w:t>
              </w:r>
            </w:hyperlink>
            <w:r w:rsidR="00B616DB">
              <w:rPr>
                <w:rStyle w:val="Hyperlink"/>
              </w:rPr>
              <w:t xml:space="preserve">, softwarepakketten.nl en platformelfa.nl </w:t>
            </w:r>
            <w:r>
              <w:t xml:space="preserve"> </w:t>
            </w:r>
            <w:r>
              <w:br/>
            </w:r>
          </w:p>
        </w:tc>
        <w:tc>
          <w:tcPr>
            <w:tcW w:w="4954" w:type="dxa"/>
          </w:tcPr>
          <w:p w:rsidR="001816FD" w:rsidRDefault="001816FD" w:rsidP="007F4F9D"/>
        </w:tc>
      </w:tr>
      <w:tr w:rsidR="00923ECF" w:rsidTr="001B61A1">
        <w:tc>
          <w:tcPr>
            <w:tcW w:w="704" w:type="dxa"/>
          </w:tcPr>
          <w:p w:rsidR="00923ECF" w:rsidRDefault="00923ECF" w:rsidP="007F4F9D">
            <w:r>
              <w:t>3.7</w:t>
            </w:r>
          </w:p>
        </w:tc>
        <w:tc>
          <w:tcPr>
            <w:tcW w:w="4536" w:type="dxa"/>
          </w:tcPr>
          <w:p w:rsidR="00923ECF" w:rsidRPr="00923ECF" w:rsidRDefault="00923ECF" w:rsidP="002A7F34">
            <w:r w:rsidRPr="00923ECF">
              <w:rPr>
                <w:i/>
              </w:rPr>
              <w:t xml:space="preserve">“Het bedrijf stelt de e-factuur op in hun eigen financiële administratiepakket (veel pakketten hebben deze optie al) of maakt gebruik van een SaaS-platform. Het bedrijf stuurt deze </w:t>
            </w:r>
            <w:proofErr w:type="spellStart"/>
            <w:r w:rsidRPr="00923ECF">
              <w:rPr>
                <w:i/>
              </w:rPr>
              <w:t>efactuur</w:t>
            </w:r>
            <w:proofErr w:type="spellEnd"/>
            <w:r w:rsidRPr="00923ECF">
              <w:rPr>
                <w:i/>
              </w:rPr>
              <w:t xml:space="preserve"> (xml-bestand in SI-UBL formaat) via de e-mail (SI LITE) of via het e-facturatienetwerk (SI FULL) naar de gemeente. Het versturen van het bericht via het PEPPOL netwerk is een functionaliteit binnen (een deel van) de bestaande financiële administratiepakketten”.</w:t>
            </w:r>
            <w:r>
              <w:br/>
            </w:r>
            <w:r w:rsidRPr="00923ECF">
              <w:t>Zo staat in het eerder genoemde rapport van KING.</w:t>
            </w:r>
          </w:p>
          <w:p w:rsidR="00923ECF" w:rsidRDefault="00923ECF" w:rsidP="002A7F34">
            <w:pPr>
              <w:rPr>
                <w:i/>
              </w:rPr>
            </w:pPr>
          </w:p>
          <w:p w:rsidR="00923ECF" w:rsidRDefault="00923ECF" w:rsidP="002A7F34">
            <w:r>
              <w:t xml:space="preserve">Waarom wordt verwezen naar SI-UBL, terwijl alle </w:t>
            </w:r>
            <w:r w:rsidRPr="00923ECF">
              <w:t xml:space="preserve">softwareleveranciers hun UBL </w:t>
            </w:r>
            <w:r>
              <w:t xml:space="preserve">moeten </w:t>
            </w:r>
            <w:r w:rsidRPr="00923ECF">
              <w:t>afstemmen op EN 16931 volgens de eerder genoemde EU-richtlijn en niet op S</w:t>
            </w:r>
            <w:r w:rsidR="00D32921">
              <w:t>I</w:t>
            </w:r>
            <w:r w:rsidRPr="00923ECF">
              <w:t>-UBL</w:t>
            </w:r>
            <w:r>
              <w:t>?</w:t>
            </w:r>
          </w:p>
          <w:p w:rsidR="00923ECF" w:rsidRPr="00923ECF" w:rsidRDefault="00923ECF" w:rsidP="002A7F34"/>
        </w:tc>
        <w:tc>
          <w:tcPr>
            <w:tcW w:w="4954" w:type="dxa"/>
          </w:tcPr>
          <w:p w:rsidR="00923ECF" w:rsidRDefault="00923ECF" w:rsidP="007F4F9D"/>
        </w:tc>
      </w:tr>
      <w:tr w:rsidR="00D32921" w:rsidTr="001B61A1">
        <w:tc>
          <w:tcPr>
            <w:tcW w:w="704" w:type="dxa"/>
          </w:tcPr>
          <w:p w:rsidR="00D32921" w:rsidRDefault="00D32921" w:rsidP="007F4F9D">
            <w:r>
              <w:t>3.8</w:t>
            </w:r>
          </w:p>
        </w:tc>
        <w:tc>
          <w:tcPr>
            <w:tcW w:w="4536" w:type="dxa"/>
          </w:tcPr>
          <w:p w:rsidR="00D32921" w:rsidRDefault="00592633" w:rsidP="002A7F34">
            <w:r>
              <w:rPr>
                <w:i/>
              </w:rPr>
              <w:t>“</w:t>
            </w:r>
            <w:r w:rsidR="006114B0" w:rsidRPr="006114B0">
              <w:rPr>
                <w:i/>
              </w:rPr>
              <w:t xml:space="preserve">Gemeenten moeten 1) ervoor zorgen dat zij een service provider krijgen met toegang tot het </w:t>
            </w:r>
            <w:proofErr w:type="spellStart"/>
            <w:r w:rsidR="006114B0" w:rsidRPr="006114B0">
              <w:rPr>
                <w:i/>
              </w:rPr>
              <w:t>efacturatienetwerk</w:t>
            </w:r>
            <w:proofErr w:type="spellEnd"/>
            <w:r w:rsidR="006114B0" w:rsidRPr="006114B0">
              <w:rPr>
                <w:i/>
              </w:rPr>
              <w:t xml:space="preserve"> (indien gekozen wordt voor SI FULL), 2) dat hun financiële administratiepakket geschikt is om e-facturen te kunnen ontvangen, verwerken en archiveren en </w:t>
            </w:r>
            <w:r w:rsidR="006114B0" w:rsidRPr="006114B0">
              <w:rPr>
                <w:i/>
              </w:rPr>
              <w:lastRenderedPageBreak/>
              <w:t>3) dat het proces van controles en accordering op orde is.</w:t>
            </w:r>
            <w:r>
              <w:rPr>
                <w:i/>
              </w:rPr>
              <w:t>”</w:t>
            </w:r>
            <w:r>
              <w:t xml:space="preserve"> </w:t>
            </w:r>
            <w:r w:rsidR="006114B0" w:rsidRPr="006114B0">
              <w:rPr>
                <w:i/>
              </w:rPr>
              <w:t xml:space="preserve"> </w:t>
            </w:r>
            <w:r>
              <w:t>Zo staat in het eerder genoemde rapport van KING.</w:t>
            </w:r>
            <w:r>
              <w:br/>
            </w:r>
            <w:r>
              <w:br/>
            </w:r>
            <w:r w:rsidRPr="00592633">
              <w:t xml:space="preserve">PEPPOL is het </w:t>
            </w:r>
            <w:proofErr w:type="spellStart"/>
            <w:r w:rsidRPr="00592633">
              <w:t>efacturatienetwerk</w:t>
            </w:r>
            <w:proofErr w:type="spellEnd"/>
            <w:r w:rsidRPr="00592633">
              <w:t>. Om hier op aan te sluiten is SI FULL geheel NIET nodig.</w:t>
            </w:r>
          </w:p>
          <w:p w:rsidR="00592633" w:rsidRDefault="00592633" w:rsidP="002A7F34"/>
          <w:p w:rsidR="00592633" w:rsidRPr="00592633" w:rsidRDefault="00592633" w:rsidP="002A7F34">
            <w:r>
              <w:t>Waarom wordt in het rapport alleen gesproken over SI FULL en niet over PEPPOL?</w:t>
            </w:r>
            <w:r>
              <w:br/>
            </w:r>
          </w:p>
        </w:tc>
        <w:tc>
          <w:tcPr>
            <w:tcW w:w="4954" w:type="dxa"/>
          </w:tcPr>
          <w:p w:rsidR="00D32921" w:rsidRDefault="00D32921" w:rsidP="007F4F9D"/>
        </w:tc>
      </w:tr>
    </w:tbl>
    <w:p w:rsidR="000436C7" w:rsidRDefault="000436C7" w:rsidP="007F4F9D">
      <w:r>
        <w:t xml:space="preserve"> </w:t>
      </w:r>
    </w:p>
    <w:p w:rsidR="009827E7" w:rsidRDefault="00B91E14" w:rsidP="0047087D">
      <w:pPr>
        <w:spacing w:after="0"/>
      </w:pPr>
      <w:r>
        <w:t>Wilt u verder nog iets kwijt? Dat kan onderstaand:</w:t>
      </w:r>
    </w:p>
    <w:p w:rsidR="00B91E14" w:rsidRDefault="00B91E14" w:rsidP="0047087D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91E14" w:rsidTr="00B91E14">
        <w:tc>
          <w:tcPr>
            <w:tcW w:w="10344" w:type="dxa"/>
          </w:tcPr>
          <w:p w:rsidR="00B91E14" w:rsidRDefault="00B91E14" w:rsidP="0047087D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B91E14" w:rsidRDefault="00B91E14" w:rsidP="0047087D">
      <w:pPr>
        <w:spacing w:after="0"/>
      </w:pPr>
    </w:p>
    <w:p w:rsidR="00945EE5" w:rsidRDefault="00B91E14" w:rsidP="00945EE5">
      <w:pPr>
        <w:spacing w:after="0"/>
      </w:pPr>
      <w:r>
        <w:t>Alvast bedankt voor uw medewerking.</w:t>
      </w:r>
    </w:p>
    <w:p w:rsidR="00B91E14" w:rsidRDefault="00B91E14" w:rsidP="00945EE5">
      <w:pPr>
        <w:spacing w:after="0"/>
      </w:pPr>
    </w:p>
    <w:p w:rsidR="00B91E14" w:rsidRDefault="00B91E14" w:rsidP="00945EE5">
      <w:pPr>
        <w:spacing w:after="0"/>
      </w:pPr>
      <w:r>
        <w:t>Met vriendelijke groet,</w:t>
      </w:r>
      <w:r>
        <w:br/>
      </w:r>
      <w:r w:rsidRPr="00B91E14">
        <w:t>Friso de Jong en Gerard Bottemanne</w:t>
      </w:r>
    </w:p>
    <w:p w:rsidR="00B91E14" w:rsidRDefault="00B91E14" w:rsidP="00945EE5">
      <w:pPr>
        <w:spacing w:after="0"/>
      </w:pPr>
    </w:p>
    <w:p w:rsidR="005136C4" w:rsidRPr="005136C4" w:rsidRDefault="0047087D" w:rsidP="00945EE5">
      <w:pPr>
        <w:spacing w:after="0"/>
      </w:pPr>
      <w:r>
        <w:br/>
      </w:r>
      <w:r w:rsidR="0002789D">
        <w:br/>
      </w:r>
    </w:p>
    <w:p w:rsidR="00A46813" w:rsidRDefault="00A46813" w:rsidP="005136C4">
      <w:pPr>
        <w:spacing w:after="0"/>
      </w:pPr>
    </w:p>
    <w:p w:rsidR="00A46813" w:rsidRPr="00A46813" w:rsidRDefault="00A46813" w:rsidP="005136C4">
      <w:pPr>
        <w:spacing w:after="0"/>
      </w:pPr>
    </w:p>
    <w:sectPr w:rsidR="00A46813" w:rsidRPr="00A46813" w:rsidSect="004A0429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1C" w:rsidRDefault="00BA291C" w:rsidP="00833703">
      <w:pPr>
        <w:spacing w:after="0" w:line="240" w:lineRule="auto"/>
      </w:pPr>
      <w:r>
        <w:separator/>
      </w:r>
    </w:p>
  </w:endnote>
  <w:endnote w:type="continuationSeparator" w:id="0">
    <w:p w:rsidR="00BA291C" w:rsidRDefault="00BA291C" w:rsidP="0083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413889"/>
      <w:docPartObj>
        <w:docPartGallery w:val="Page Numbers (Bottom of Page)"/>
        <w:docPartUnique/>
      </w:docPartObj>
    </w:sdtPr>
    <w:sdtEndPr/>
    <w:sdtContent>
      <w:p w:rsidR="001816FD" w:rsidRDefault="001816F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5B">
          <w:rPr>
            <w:noProof/>
          </w:rPr>
          <w:t>6</w:t>
        </w:r>
        <w:r>
          <w:fldChar w:fldCharType="end"/>
        </w:r>
      </w:p>
    </w:sdtContent>
  </w:sdt>
  <w:p w:rsidR="001816FD" w:rsidRDefault="001816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1C" w:rsidRDefault="00BA291C" w:rsidP="00833703">
      <w:pPr>
        <w:spacing w:after="0" w:line="240" w:lineRule="auto"/>
      </w:pPr>
      <w:r>
        <w:separator/>
      </w:r>
    </w:p>
  </w:footnote>
  <w:footnote w:type="continuationSeparator" w:id="0">
    <w:p w:rsidR="00BA291C" w:rsidRDefault="00BA291C" w:rsidP="0083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261"/>
    <w:multiLevelType w:val="hybridMultilevel"/>
    <w:tmpl w:val="DDBC0A18"/>
    <w:lvl w:ilvl="0" w:tplc="0F12A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660"/>
    <w:multiLevelType w:val="hybridMultilevel"/>
    <w:tmpl w:val="0DC0F076"/>
    <w:lvl w:ilvl="0" w:tplc="E03CD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7AF"/>
    <w:multiLevelType w:val="hybridMultilevel"/>
    <w:tmpl w:val="BF5A5D0C"/>
    <w:lvl w:ilvl="0" w:tplc="E03CD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F3A"/>
    <w:multiLevelType w:val="hybridMultilevel"/>
    <w:tmpl w:val="F718F8A0"/>
    <w:lvl w:ilvl="0" w:tplc="0F12A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9C2"/>
    <w:multiLevelType w:val="hybridMultilevel"/>
    <w:tmpl w:val="193A3D80"/>
    <w:lvl w:ilvl="0" w:tplc="E03CD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6B2D"/>
    <w:multiLevelType w:val="hybridMultilevel"/>
    <w:tmpl w:val="F718F8A0"/>
    <w:lvl w:ilvl="0" w:tplc="0F12A1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3ABA"/>
    <w:multiLevelType w:val="hybridMultilevel"/>
    <w:tmpl w:val="FA1800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4BC6"/>
    <w:multiLevelType w:val="hybridMultilevel"/>
    <w:tmpl w:val="DC9E32FA"/>
    <w:lvl w:ilvl="0" w:tplc="6C16E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04E8"/>
    <w:multiLevelType w:val="hybridMultilevel"/>
    <w:tmpl w:val="BEC2BDF0"/>
    <w:lvl w:ilvl="0" w:tplc="4782A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122A"/>
    <w:multiLevelType w:val="hybridMultilevel"/>
    <w:tmpl w:val="17021EF8"/>
    <w:lvl w:ilvl="0" w:tplc="E03CD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2"/>
    <w:rsid w:val="0002789D"/>
    <w:rsid w:val="000436C7"/>
    <w:rsid w:val="00071E6A"/>
    <w:rsid w:val="000D73AB"/>
    <w:rsid w:val="00111B0D"/>
    <w:rsid w:val="001774E5"/>
    <w:rsid w:val="001816FD"/>
    <w:rsid w:val="001B5CA6"/>
    <w:rsid w:val="001B61A1"/>
    <w:rsid w:val="00224EF3"/>
    <w:rsid w:val="002A7F34"/>
    <w:rsid w:val="00324B01"/>
    <w:rsid w:val="00364885"/>
    <w:rsid w:val="0038306A"/>
    <w:rsid w:val="003A2117"/>
    <w:rsid w:val="003B628E"/>
    <w:rsid w:val="0047087D"/>
    <w:rsid w:val="004A0429"/>
    <w:rsid w:val="004A2504"/>
    <w:rsid w:val="004C28B2"/>
    <w:rsid w:val="005136C4"/>
    <w:rsid w:val="00515887"/>
    <w:rsid w:val="00517BF6"/>
    <w:rsid w:val="00583509"/>
    <w:rsid w:val="00592633"/>
    <w:rsid w:val="005A280B"/>
    <w:rsid w:val="005B0F3C"/>
    <w:rsid w:val="005D7E39"/>
    <w:rsid w:val="006114B0"/>
    <w:rsid w:val="006307B1"/>
    <w:rsid w:val="00640136"/>
    <w:rsid w:val="00650BB9"/>
    <w:rsid w:val="00667BC0"/>
    <w:rsid w:val="006F0192"/>
    <w:rsid w:val="006F1E6C"/>
    <w:rsid w:val="00735EF7"/>
    <w:rsid w:val="007F4F9D"/>
    <w:rsid w:val="00833703"/>
    <w:rsid w:val="00892F11"/>
    <w:rsid w:val="008E48A7"/>
    <w:rsid w:val="00905C4F"/>
    <w:rsid w:val="00917217"/>
    <w:rsid w:val="00923ECF"/>
    <w:rsid w:val="00927257"/>
    <w:rsid w:val="00945EE5"/>
    <w:rsid w:val="009827E7"/>
    <w:rsid w:val="00994214"/>
    <w:rsid w:val="00A04662"/>
    <w:rsid w:val="00A301DC"/>
    <w:rsid w:val="00A46813"/>
    <w:rsid w:val="00A60AD8"/>
    <w:rsid w:val="00A747A1"/>
    <w:rsid w:val="00A835E5"/>
    <w:rsid w:val="00B074E3"/>
    <w:rsid w:val="00B616DB"/>
    <w:rsid w:val="00B829D6"/>
    <w:rsid w:val="00B91E14"/>
    <w:rsid w:val="00BA0D84"/>
    <w:rsid w:val="00BA291C"/>
    <w:rsid w:val="00BD699A"/>
    <w:rsid w:val="00C0168E"/>
    <w:rsid w:val="00C8791D"/>
    <w:rsid w:val="00C9504B"/>
    <w:rsid w:val="00CA0091"/>
    <w:rsid w:val="00CB39C3"/>
    <w:rsid w:val="00CC03FA"/>
    <w:rsid w:val="00CD2436"/>
    <w:rsid w:val="00D05DEA"/>
    <w:rsid w:val="00D32921"/>
    <w:rsid w:val="00DF095B"/>
    <w:rsid w:val="00DF49BB"/>
    <w:rsid w:val="00E33037"/>
    <w:rsid w:val="00E61478"/>
    <w:rsid w:val="00E85876"/>
    <w:rsid w:val="00EE3186"/>
    <w:rsid w:val="00F45087"/>
    <w:rsid w:val="00F60527"/>
    <w:rsid w:val="00F92896"/>
    <w:rsid w:val="00FA29EA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B793"/>
  <w15:docId w15:val="{BF67BF0B-DFA7-46BC-8815-C8DF5C3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68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27E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827E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32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703"/>
  </w:style>
  <w:style w:type="paragraph" w:styleId="Voettekst">
    <w:name w:val="footer"/>
    <w:basedOn w:val="Standaard"/>
    <w:link w:val="VoettekstChar"/>
    <w:uiPriority w:val="99"/>
    <w:unhideWhenUsed/>
    <w:rsid w:val="0083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703"/>
  </w:style>
  <w:style w:type="character" w:styleId="Verwijzingopmerking">
    <w:name w:val="annotation reference"/>
    <w:basedOn w:val="Standaardalinea-lettertype"/>
    <w:uiPriority w:val="99"/>
    <w:semiHidden/>
    <w:unhideWhenUsed/>
    <w:rsid w:val="00B616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16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16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16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16D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warepakket.nl/wiki_uitleg/60&amp;bronw=7/Nadere_specificaties_EN_16931_norm_voor_de_Europese_kernfactuur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ftwarepakket.nl/wiki_uitleg/60&amp;bronw=7/Nadere_specificaties_EN_16931_norm_voor_de_Europese_kernfactuur.htm" TargetMode="External"/><Relationship Id="rId12" Type="http://schemas.openxmlformats.org/officeDocument/2006/relationships/hyperlink" Target="http://www.ublread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lketentest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nggemeenten.nl/sites/king/files/KING%20%282017%29%20-%20Impact%20Analyse%20e-facturer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twarepakket.nl/wiki_uitleg/60&amp;bronw=7/Nadere_specificaties_EN_16931_norm_voor_de_Europese_kernfactuu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Bottemanne</dc:creator>
  <cp:lastModifiedBy>Gerard Bottemanne</cp:lastModifiedBy>
  <cp:revision>6</cp:revision>
  <dcterms:created xsi:type="dcterms:W3CDTF">2017-07-17T10:03:00Z</dcterms:created>
  <dcterms:modified xsi:type="dcterms:W3CDTF">2017-08-12T13:39:00Z</dcterms:modified>
</cp:coreProperties>
</file>